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5C9A54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B606E6">
        <w:rPr>
          <w:bCs/>
          <w:noProof w:val="0"/>
          <w:sz w:val="24"/>
          <w:szCs w:val="24"/>
        </w:rPr>
        <w:t>5</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3D51B3">
        <w:rPr>
          <w:bCs/>
          <w:noProof w:val="0"/>
          <w:sz w:val="24"/>
          <w:szCs w:val="24"/>
        </w:rPr>
        <w:t>2108467</w:t>
      </w:r>
    </w:p>
    <w:p w14:paraId="11776FA6" w14:textId="32DA46F6"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912AF6">
        <w:rPr>
          <w:rFonts w:eastAsia="SimSun"/>
          <w:bCs/>
          <w:sz w:val="24"/>
          <w:szCs w:val="24"/>
          <w:lang w:eastAsia="zh-CN"/>
        </w:rPr>
        <w:t>16</w:t>
      </w:r>
      <w:r w:rsidR="006E1057" w:rsidRPr="006E1057">
        <w:rPr>
          <w:rFonts w:eastAsia="SimSun"/>
          <w:bCs/>
          <w:sz w:val="24"/>
          <w:szCs w:val="24"/>
          <w:lang w:eastAsia="zh-CN"/>
        </w:rPr>
        <w:t xml:space="preserve"> – </w:t>
      </w:r>
      <w:r w:rsidR="00912AF6">
        <w:rPr>
          <w:rFonts w:eastAsia="SimSun"/>
          <w:bCs/>
          <w:sz w:val="24"/>
          <w:szCs w:val="24"/>
          <w:lang w:eastAsia="zh-CN"/>
        </w:rPr>
        <w:t>27</w:t>
      </w:r>
      <w:r w:rsidR="006E1057" w:rsidRPr="006E1057">
        <w:rPr>
          <w:rFonts w:eastAsia="SimSun"/>
          <w:bCs/>
          <w:sz w:val="24"/>
          <w:szCs w:val="24"/>
          <w:lang w:eastAsia="zh-CN"/>
        </w:rPr>
        <w:t xml:space="preserve"> </w:t>
      </w:r>
      <w:r w:rsidR="00B606E6">
        <w:rPr>
          <w:rFonts w:eastAsia="SimSun"/>
          <w:bCs/>
          <w:sz w:val="24"/>
          <w:szCs w:val="24"/>
          <w:lang w:eastAsia="zh-CN"/>
        </w:rPr>
        <w:t>August</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4302CE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66B47">
        <w:rPr>
          <w:rFonts w:cs="Arial"/>
          <w:b/>
          <w:bCs/>
          <w:sz w:val="24"/>
          <w:lang w:eastAsia="ja-JP"/>
        </w:rPr>
        <w:t>8</w:t>
      </w:r>
      <w:r>
        <w:rPr>
          <w:rFonts w:cs="Arial"/>
          <w:b/>
          <w:bCs/>
          <w:sz w:val="24"/>
          <w:lang w:eastAsia="ja-JP"/>
        </w:rPr>
        <w:t>.</w:t>
      </w:r>
      <w:r w:rsidR="00E66B47">
        <w:rPr>
          <w:rFonts w:cs="Arial"/>
          <w:b/>
          <w:bCs/>
          <w:sz w:val="24"/>
          <w:lang w:eastAsia="ja-JP"/>
        </w:rPr>
        <w:t>7</w:t>
      </w:r>
      <w:r>
        <w:rPr>
          <w:rFonts w:cs="Arial"/>
          <w:b/>
          <w:bCs/>
          <w:sz w:val="24"/>
          <w:lang w:eastAsia="ja-JP"/>
        </w:rPr>
        <w:t>.</w:t>
      </w:r>
      <w:r w:rsidR="00E66B47">
        <w:rPr>
          <w:rFonts w:cs="Arial"/>
          <w:b/>
          <w:bCs/>
          <w:sz w:val="24"/>
          <w:lang w:eastAsia="ja-JP"/>
        </w:rPr>
        <w:t>3.2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53A8BF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66B47">
        <w:rPr>
          <w:rFonts w:ascii="Arial" w:hAnsi="Arial" w:cs="Arial"/>
          <w:b/>
          <w:bCs/>
          <w:sz w:val="24"/>
        </w:rPr>
        <w:t xml:space="preserve">Discussion on </w:t>
      </w:r>
      <w:r w:rsidR="0087054B">
        <w:rPr>
          <w:rFonts w:ascii="Arial" w:hAnsi="Arial" w:cs="Arial"/>
          <w:b/>
          <w:bCs/>
          <w:sz w:val="24"/>
        </w:rPr>
        <w:t xml:space="preserve">sidelink assisted mobility using </w:t>
      </w:r>
      <w:r w:rsidR="00E66B47">
        <w:rPr>
          <w:rFonts w:ascii="Arial" w:hAnsi="Arial" w:cs="Arial"/>
          <w:b/>
          <w:bCs/>
          <w:sz w:val="24"/>
        </w:rPr>
        <w:t xml:space="preserve">UE-to-Nwk Relay </w:t>
      </w:r>
    </w:p>
    <w:p w14:paraId="1F147C23" w14:textId="224F9BA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66B47" w:rsidRPr="006D0D9B">
        <w:rPr>
          <w:rFonts w:ascii="Arial" w:hAnsi="Arial" w:cs="Arial"/>
          <w:b/>
          <w:bCs/>
          <w:sz w:val="24"/>
        </w:rPr>
        <w:t>NR_SL_</w:t>
      </w:r>
      <w:r w:rsidR="00912AF6">
        <w:rPr>
          <w:rFonts w:ascii="Arial" w:hAnsi="Arial" w:cs="Arial"/>
          <w:b/>
          <w:bCs/>
          <w:sz w:val="24"/>
        </w:rPr>
        <w:t>R</w:t>
      </w:r>
      <w:r w:rsidR="00E66B47" w:rsidRPr="006D0D9B">
        <w:rPr>
          <w:rFonts w:ascii="Arial" w:hAnsi="Arial" w:cs="Arial"/>
          <w:b/>
          <w:bCs/>
          <w:sz w:val="24"/>
        </w:rPr>
        <w:t>elay</w:t>
      </w:r>
      <w:r w:rsidR="00E66B47">
        <w:rPr>
          <w:rFonts w:ascii="Arial" w:hAnsi="Arial" w:cs="Arial"/>
          <w:b/>
          <w:bCs/>
          <w:sz w:val="24"/>
        </w:rPr>
        <w:t xml:space="preserve">_Core </w:t>
      </w:r>
      <w:r>
        <w:rPr>
          <w:rFonts w:ascii="Arial" w:hAnsi="Arial" w:cs="Arial"/>
          <w:b/>
          <w:bCs/>
          <w:sz w:val="24"/>
        </w:rPr>
        <w:t xml:space="preserve">- Release </w:t>
      </w:r>
      <w:r w:rsidR="00E66B47">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938E18B" w14:textId="32F805B9" w:rsidR="00FA0F51" w:rsidRDefault="00FA0F51" w:rsidP="00FA0F51">
      <w:r>
        <w:t xml:space="preserve">According to the </w:t>
      </w:r>
      <w:hyperlink r:id="rId13" w:history="1">
        <w:r w:rsidR="00C509A7" w:rsidRPr="000667C7">
          <w:rPr>
            <w:rStyle w:val="Hyperlink"/>
          </w:rPr>
          <w:t>TR 38.836</w:t>
        </w:r>
      </w:hyperlink>
      <w:r>
        <w:t xml:space="preserve"> Section 4.5.4:</w:t>
      </w:r>
    </w:p>
    <w:p w14:paraId="7631796B" w14:textId="77777777" w:rsidR="00FA0F51" w:rsidRDefault="00FA0F51" w:rsidP="00FA0F51">
      <w:pPr>
        <w:ind w:left="284"/>
        <w:rPr>
          <w:i/>
          <w:iCs/>
        </w:rPr>
      </w:pPr>
      <w:r w:rsidRPr="000667C7">
        <w:rPr>
          <w:i/>
          <w:iCs/>
        </w:rPr>
        <w:t>L2 UE-to-Ne</w:t>
      </w:r>
      <w:r>
        <w:rPr>
          <w:i/>
          <w:iCs/>
        </w:rPr>
        <w:t>t</w:t>
      </w:r>
      <w:r w:rsidRPr="000667C7">
        <w:rPr>
          <w:i/>
          <w:iCs/>
        </w:rPr>
        <w:t>work Relay uses the RAN2 principle of the Rel-15 NR handover procedure as the baseline AS layer solution to guarantee service continuity (i.e. gNB hands over the Remote UE to a target cell or target Relay UE, including 1) Handover preparation type of procedure between gNB and Relay UE (if needed), 2) RRCReconfiguration to Remote UE, Remote UE switching to the target, and 3) Handover complete message, similar to the legacy procedure).</w:t>
      </w:r>
    </w:p>
    <w:p w14:paraId="6FA64884" w14:textId="630BFB99" w:rsidR="00FA0F51" w:rsidRDefault="00FA0F51" w:rsidP="00FA0F51">
      <w:r w:rsidRPr="00D170A8">
        <w:rPr>
          <w:i/>
          <w:iCs/>
          <w:lang w:eastAsia="zh-CN"/>
        </w:rPr>
        <w:t>Exact content of the messages (e.g. handover command) can be discussed in WI phase. This does not imply that we will send inter-node message over Uu.</w:t>
      </w:r>
    </w:p>
    <w:p w14:paraId="31EC6E66" w14:textId="4013D77E" w:rsidR="007F2E08" w:rsidRDefault="00C509A7" w:rsidP="00A209D6">
      <w:r>
        <w:t>In this paper, we discuss mobility enhancements through the UE-to-Network Relay</w:t>
      </w:r>
      <w:r w:rsidR="00FA0F51">
        <w:t xml:space="preserve"> </w:t>
      </w:r>
      <w:r w:rsidR="00010FCD">
        <w:t>as t</w:t>
      </w:r>
      <w:r w:rsidR="00010FCD">
        <w:rPr>
          <w:lang w:eastAsia="zh-CN"/>
        </w:rPr>
        <w:t>he content of the messages to guarantee service continuity for UE-to-Network Relay should be adopted to align with the principle of Rel-16, Rel-17 NR mobility procedure</w:t>
      </w:r>
      <w:r>
        <w:t xml:space="preserve">. </w:t>
      </w:r>
    </w:p>
    <w:p w14:paraId="4F547731" w14:textId="75E80CD1" w:rsidR="00A209D6" w:rsidRPr="006E13D1" w:rsidRDefault="00A209D6" w:rsidP="00B7538C">
      <w:pPr>
        <w:pStyle w:val="Heading1"/>
      </w:pPr>
      <w:r w:rsidRPr="006E13D1">
        <w:t>2</w:t>
      </w:r>
      <w:r w:rsidRPr="006E13D1">
        <w:tab/>
      </w:r>
      <w:r w:rsidR="00010FCD" w:rsidRPr="003C35D0">
        <w:t>Sidelink assisted mobility scenario</w:t>
      </w:r>
    </w:p>
    <w:p w14:paraId="52201066" w14:textId="0EAA2FE1" w:rsidR="009A2DE0" w:rsidRDefault="003C35D0" w:rsidP="006B5AFC">
      <w:r>
        <w:t>Figure 1</w:t>
      </w:r>
      <w:r w:rsidR="00DE4D34" w:rsidRPr="00DE4D34">
        <w:t xml:space="preserve"> illustrates the possible scenario where we have "remote UE" and "relay UE" (as in TR 38.836) to represent the UE who belongs to that control signal message and an assisting UE to relay this control message to the serving gNB, respectively. We consider the case where both UEs are connected to the current serving cell of the remote UE. The relay UE can be located either in the same beam of the serving cell as remote UE or can be in another beam. </w:t>
      </w:r>
    </w:p>
    <w:p w14:paraId="4A18CCC2" w14:textId="77777777" w:rsidR="009A2DE0" w:rsidRDefault="009A2DE0" w:rsidP="009A2DE0">
      <w:pPr>
        <w:keepNext/>
        <w:jc w:val="center"/>
      </w:pPr>
      <w:r>
        <w:rPr>
          <w:noProof/>
        </w:rPr>
        <w:drawing>
          <wp:inline distT="0" distB="0" distL="0" distR="0" wp14:anchorId="5CB0DC38" wp14:editId="007DF398">
            <wp:extent cx="4057822" cy="2048494"/>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4162930" cy="2101555"/>
                    </a:xfrm>
                    <a:prstGeom prst="rect">
                      <a:avLst/>
                    </a:prstGeom>
                  </pic:spPr>
                </pic:pic>
              </a:graphicData>
            </a:graphic>
          </wp:inline>
        </w:drawing>
      </w:r>
    </w:p>
    <w:p w14:paraId="26C2AB71" w14:textId="163221A8" w:rsidR="00604B49" w:rsidRDefault="009A2DE0" w:rsidP="00982EFC">
      <w:pPr>
        <w:pStyle w:val="Caption"/>
        <w:jc w:val="center"/>
      </w:pPr>
      <w:r>
        <w:t xml:space="preserve">Figure </w:t>
      </w:r>
      <w:fldSimple w:instr=" SEQ Figure \* ARABIC ">
        <w:r w:rsidR="00D365AF">
          <w:rPr>
            <w:noProof/>
          </w:rPr>
          <w:t>1</w:t>
        </w:r>
      </w:fldSimple>
      <w:r w:rsidR="00982EFC">
        <w:t xml:space="preserve"> </w:t>
      </w:r>
      <w:r w:rsidR="00982EFC" w:rsidRPr="008E4C36">
        <w:t>Sidelink assisted mobility scenario</w:t>
      </w:r>
    </w:p>
    <w:p w14:paraId="3C9956ED" w14:textId="63D3D03B" w:rsidR="006B5AFC" w:rsidRDefault="00DE4D34" w:rsidP="006B5AFC">
      <w:r w:rsidRPr="00DE4D34">
        <w:t xml:space="preserve">The message exchange between the remote UE and the serving gNB over the direct Uu interface may fail due to worsening radio conditions, especially when the remote UE moves towards the edge of the coverage area of the serving gNB as depicted in Figure </w:t>
      </w:r>
      <w:r w:rsidR="001133E3">
        <w:t>1</w:t>
      </w:r>
      <w:r w:rsidRPr="00DE4D34">
        <w:t xml:space="preserve">. Moreover, when operating at FR2 or at higher frequencies, signal degradation may happen abruptly (due to blockage, rotation, etc) which leads </w:t>
      </w:r>
      <w:r w:rsidR="00CA24CF">
        <w:t>to</w:t>
      </w:r>
      <w:r w:rsidR="00754131">
        <w:t xml:space="preserve"> potential</w:t>
      </w:r>
      <w:r w:rsidRPr="00DE4D34">
        <w:t xml:space="preserve"> failures on Uu interface</w:t>
      </w:r>
      <w:r w:rsidR="00982EFC">
        <w:t xml:space="preserve"> i.e. in terms of conditional handover (CHO), or beam failure</w:t>
      </w:r>
      <w:r w:rsidR="009A2DE0">
        <w:t>;</w:t>
      </w:r>
    </w:p>
    <w:p w14:paraId="2AFB7BC2" w14:textId="5B870770" w:rsidR="00982EFC" w:rsidRDefault="00982EFC" w:rsidP="00982EFC">
      <w:pPr>
        <w:pStyle w:val="Heading2"/>
      </w:pPr>
      <w:r>
        <w:lastRenderedPageBreak/>
        <w:t>2.1</w:t>
      </w:r>
      <w:r>
        <w:tab/>
        <w:t>Beam Failure</w:t>
      </w:r>
    </w:p>
    <w:p w14:paraId="36A91D79" w14:textId="260FF090" w:rsidR="000971DB" w:rsidRDefault="000971DB" w:rsidP="000971DB">
      <w:r>
        <w:t xml:space="preserve">Beamforming is an integral part of NR system in FR1 and FR2, whereby Beam Failure Recovery BFR is one procedure in beam management that is used to recover the serving beam in case of beam failure detection and defined in Rel-15. The UE monitors the Radio Link Quality (RLQ) of the serving beam for beam failure detection. When the RLQ is worse than </w:t>
      </w:r>
      <m:oMath>
        <m:sSub>
          <m:sSubPr>
            <m:ctrlPr>
              <w:rPr>
                <w:rFonts w:ascii="Cambria Math" w:hAnsi="Cambria Math"/>
                <w:i/>
              </w:rPr>
            </m:ctrlPr>
          </m:sSubPr>
          <m:e>
            <m:r>
              <w:rPr>
                <w:rFonts w:ascii="Cambria Math" w:hAnsi="Cambria Math"/>
              </w:rPr>
              <m:t>Q</m:t>
            </m:r>
          </m:e>
          <m:sub>
            <m:r>
              <w:rPr>
                <w:rFonts w:ascii="Cambria Math" w:hAnsi="Cambria Math"/>
              </w:rPr>
              <m:t>out_LR</m:t>
            </m:r>
          </m:sub>
        </m:sSub>
      </m:oMath>
      <w:r>
        <w:t>, the beam failure instance is incremented. A beam failure is detected if the maximum number of consecutive beam failure instances is reached, where two successive indications are separated by at most beamFailureDetectionTimer (set by RRC in RadioLinkMonitoringConfig)</w:t>
      </w:r>
    </w:p>
    <w:p w14:paraId="10DC8A7E" w14:textId="2393BD5B" w:rsidR="000971DB" w:rsidRDefault="000971DB" w:rsidP="000971DB">
      <w:r>
        <w:t xml:space="preserve">Once beam failure has been declared, UE initiates BFR by selecting and indicating new candidate beam for PDCCH reception. The UE determines new candidate beam based on e.g. L1-RSRP measurements and performs either CFRA or CBRA to indicate the candidate beam to the serving cell. Network can configure UE with candidate beam specific CFRA preambles, i.e., each candidate beam (SSB or CSI-RS) can be indicated using dedicated signal (CFRA preamble). A specific threshold may be configured so that if any of the new candidate beams (based on L1-RSRP measurements) are above the threshold, UE selects candidate beam from that set and performs CFRA. In case there are no beams above the configured threshold, UE utilizes </w:t>
      </w:r>
      <w:r w:rsidR="0087054B">
        <w:t>contention-based</w:t>
      </w:r>
      <w:r>
        <w:t xml:space="preserve"> signalling to indicate new candidate, i.e., CBRA preamble resources are mapped to specific downlink RS (SSB).</w:t>
      </w:r>
    </w:p>
    <w:p w14:paraId="77B9CDF3" w14:textId="5DA77AD8" w:rsidR="000971DB" w:rsidRDefault="000971DB" w:rsidP="000971DB">
      <w:r>
        <w:t>When CFRA is used for beam recovery purposes, UE expects network to respond with PDCCH addressed by C-RNTI. In case of CBRA, UE expects response as normally in RACH procedure. For illustration, both CFRA and CBRA recovery cases are shown in Fig. 3. In case of CBRA, UE includes the C-RNTI MAC CE in msg 3 and receives in msg4 PDCCH addressed by C-RNTI scheduling PDSCH containing UE contention resolution identity MAC CE.</w:t>
      </w:r>
    </w:p>
    <w:p w14:paraId="473FD25C" w14:textId="77777777" w:rsidR="000971DB" w:rsidRDefault="000971DB" w:rsidP="000971DB">
      <w:pPr>
        <w:keepNext/>
        <w:jc w:val="center"/>
      </w:pPr>
      <w:r>
        <w:rPr>
          <w:noProof/>
        </w:rPr>
        <w:drawing>
          <wp:inline distT="0" distB="0" distL="0" distR="0" wp14:anchorId="6D4CCEDE" wp14:editId="34917FF9">
            <wp:extent cx="2533650" cy="3600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33650" cy="3600450"/>
                    </a:xfrm>
                    <a:prstGeom prst="rect">
                      <a:avLst/>
                    </a:prstGeom>
                    <a:noFill/>
                    <a:ln>
                      <a:noFill/>
                    </a:ln>
                  </pic:spPr>
                </pic:pic>
              </a:graphicData>
            </a:graphic>
          </wp:inline>
        </w:drawing>
      </w:r>
    </w:p>
    <w:p w14:paraId="2E1EDCBD" w14:textId="2125FC9A" w:rsidR="000971DB" w:rsidRDefault="000971DB" w:rsidP="000971DB">
      <w:pPr>
        <w:pStyle w:val="Caption"/>
        <w:jc w:val="center"/>
      </w:pPr>
      <w:r>
        <w:t xml:space="preserve">Figure </w:t>
      </w:r>
      <w:r w:rsidR="006B0027">
        <w:fldChar w:fldCharType="begin"/>
      </w:r>
      <w:r w:rsidR="006B0027">
        <w:instrText xml:space="preserve"> SEQ Figure \* ARABIC </w:instrText>
      </w:r>
      <w:r w:rsidR="006B0027">
        <w:fldChar w:fldCharType="separate"/>
      </w:r>
      <w:r>
        <w:rPr>
          <w:noProof/>
        </w:rPr>
        <w:t>3</w:t>
      </w:r>
      <w:r w:rsidR="006B0027">
        <w:rPr>
          <w:noProof/>
        </w:rPr>
        <w:fldChar w:fldCharType="end"/>
      </w:r>
      <w:r>
        <w:t xml:space="preserve"> Contention-free and contention based BFR</w:t>
      </w:r>
    </w:p>
    <w:p w14:paraId="558EE1B1" w14:textId="71070311" w:rsidR="009A2DE0" w:rsidRPr="009A2DE0" w:rsidRDefault="009A2DE0" w:rsidP="00982EFC"/>
    <w:p w14:paraId="6B18FEA5" w14:textId="2CC6E60F" w:rsidR="009A2DE0" w:rsidRPr="00CB76EA" w:rsidRDefault="009A2DE0" w:rsidP="009A2DE0">
      <w:pPr>
        <w:rPr>
          <w:bCs/>
        </w:rPr>
      </w:pPr>
    </w:p>
    <w:p w14:paraId="5CAB0751" w14:textId="21AC973E" w:rsidR="0074077C" w:rsidRPr="0074077C" w:rsidRDefault="0074077C" w:rsidP="009A2DE0">
      <w:pPr>
        <w:rPr>
          <w:bCs/>
        </w:rPr>
      </w:pPr>
      <w:r w:rsidRPr="0074077C">
        <w:rPr>
          <w:bCs/>
        </w:rPr>
        <w:t>In case beam failure is detected (Uu link between the remote UE and serving gNB is lost, Fig. 3), the serving cell will continue to serve the UE (sending PDCCH, DL user plane packets) while the UE is performing beam failure recovery</w:t>
      </w:r>
      <w:r>
        <w:rPr>
          <w:bCs/>
        </w:rPr>
        <w:t xml:space="preserve"> as the serving cell will not be aware of running BFR procedures at the UE</w:t>
      </w:r>
      <w:r w:rsidRPr="0074077C">
        <w:rPr>
          <w:bCs/>
        </w:rPr>
        <w:t>. This will result in loss of DL packets and unefficient use of DL resources.</w:t>
      </w:r>
    </w:p>
    <w:p w14:paraId="113B2418" w14:textId="66853CD0" w:rsidR="0074077C" w:rsidRDefault="0074077C" w:rsidP="0074077C">
      <w:pPr>
        <w:rPr>
          <w:b/>
        </w:rPr>
      </w:pPr>
      <w:r w:rsidRPr="0074077C">
        <w:rPr>
          <w:b/>
        </w:rPr>
        <w:t xml:space="preserve">Observation </w:t>
      </w:r>
      <w:r w:rsidR="0087054B">
        <w:rPr>
          <w:b/>
        </w:rPr>
        <w:t>1</w:t>
      </w:r>
      <w:r>
        <w:rPr>
          <w:b/>
        </w:rPr>
        <w:t xml:space="preserve">: </w:t>
      </w:r>
      <w:r w:rsidRPr="00CB76EA">
        <w:rPr>
          <w:bCs/>
        </w:rPr>
        <w:t xml:space="preserve">Beam failures might result in loss of DL packets and </w:t>
      </w:r>
      <w:r w:rsidR="004F30AA" w:rsidRPr="00CB76EA">
        <w:rPr>
          <w:bCs/>
        </w:rPr>
        <w:t>inefficient</w:t>
      </w:r>
      <w:r w:rsidRPr="00CB76EA">
        <w:rPr>
          <w:bCs/>
        </w:rPr>
        <w:t xml:space="preserve"> use of DL resources since the serving cell will continue to serve the UE while the UE is performing BFR.</w:t>
      </w:r>
    </w:p>
    <w:p w14:paraId="2A05BF96" w14:textId="53820A2C" w:rsidR="007E55FA" w:rsidRPr="007E55FA" w:rsidRDefault="000971DB" w:rsidP="000971DB">
      <w:pPr>
        <w:rPr>
          <w:bCs/>
        </w:rPr>
      </w:pPr>
      <w:r>
        <w:lastRenderedPageBreak/>
        <w:t>F</w:t>
      </w:r>
      <w:r w:rsidR="007E55FA">
        <w:t xml:space="preserve">or BFR procedure at the remote UE, the serving cell can be informed via the relay-UE in case of beam failure detection to stop downlink transmission. </w:t>
      </w:r>
    </w:p>
    <w:p w14:paraId="13620F56" w14:textId="238F24C8" w:rsidR="007E55FA" w:rsidRPr="00912AF6" w:rsidRDefault="007E55FA" w:rsidP="007E55FA">
      <w:pPr>
        <w:rPr>
          <w:bCs/>
        </w:rPr>
      </w:pPr>
      <w:r>
        <w:rPr>
          <w:b/>
        </w:rPr>
        <w:t>Proposal</w:t>
      </w:r>
      <w:r w:rsidRPr="00B84DB2">
        <w:rPr>
          <w:b/>
        </w:rPr>
        <w:t xml:space="preserve"> </w:t>
      </w:r>
      <w:r w:rsidR="0087054B">
        <w:rPr>
          <w:b/>
        </w:rPr>
        <w:t>1</w:t>
      </w:r>
      <w:r>
        <w:rPr>
          <w:b/>
        </w:rPr>
        <w:t xml:space="preserve">: </w:t>
      </w:r>
      <w:r w:rsidRPr="00912AF6">
        <w:rPr>
          <w:bCs/>
        </w:rPr>
        <w:t>When the UE detects beam failure on the direct link, the remote-UE can inform the serving cell via PC5 link about the BFR event such that it can stop scheduling data and wait for the BFR from the UE.</w:t>
      </w:r>
    </w:p>
    <w:p w14:paraId="027827BF" w14:textId="660CE77C" w:rsidR="0087054B" w:rsidRDefault="0087054B" w:rsidP="0087054B">
      <w:pPr>
        <w:pStyle w:val="Heading2"/>
      </w:pPr>
      <w:r>
        <w:t>2.2</w:t>
      </w:r>
      <w:r>
        <w:tab/>
        <w:t>Conditional handover failures</w:t>
      </w:r>
    </w:p>
    <w:p w14:paraId="56997193" w14:textId="4D73E444" w:rsidR="0087054B" w:rsidRDefault="0087054B" w:rsidP="0087054B">
      <w:r>
        <w:t>CHO has been specified for LTE and NR Rel</w:t>
      </w:r>
      <w:r w:rsidR="00727AFD">
        <w:t>-</w:t>
      </w:r>
      <w:r>
        <w:t>16 and is very similar to the legacy handover of Rel</w:t>
      </w:r>
      <w:r w:rsidR="00727AFD">
        <w:t>-</w:t>
      </w:r>
      <w:r>
        <w:t>15. An exemplary message sequence chart for CHO is shown in Figure 2, where the first steps 1-9 are identical to the legacy handover. In case of the CHO, the UE will only access the target cell once an additional CHO execution condition expires (i.e. the HO preparation and execution phases are decoupled). The condition is configured by the source node. The advantage of the CHO is that the CHO command can be sent very early, when the UE is served still safe in the source cell, without risking losing the access to the target cell and the stability of its radio link. That means the conditional handover provides mobility robustness.</w:t>
      </w:r>
    </w:p>
    <w:p w14:paraId="57A6EE2B" w14:textId="77777777" w:rsidR="0087054B" w:rsidRDefault="0087054B" w:rsidP="0087054B">
      <w:pPr>
        <w:keepNext/>
        <w:jc w:val="center"/>
      </w:pPr>
      <w:r>
        <w:object w:dxaOrig="7620" w:dyaOrig="7344" w14:anchorId="6AF63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pt;height:367.8pt" o:ole="">
            <v:imagedata r:id="rId16" o:title=""/>
          </v:shape>
          <o:OLEObject Type="Embed" ProgID="Mscgen.Chart" ShapeID="_x0000_i1025" DrawAspect="Content" ObjectID="_1689714242" r:id="rId17"/>
        </w:object>
      </w:r>
    </w:p>
    <w:p w14:paraId="3A0BC954" w14:textId="77777777" w:rsidR="0087054B" w:rsidRDefault="0087054B" w:rsidP="0087054B">
      <w:pPr>
        <w:pStyle w:val="Caption"/>
        <w:jc w:val="center"/>
      </w:pPr>
      <w:r>
        <w:t xml:space="preserve">Figure </w:t>
      </w:r>
      <w:fldSimple w:instr=" SEQ Figure \* ARABIC ">
        <w:r>
          <w:rPr>
            <w:noProof/>
          </w:rPr>
          <w:t>2</w:t>
        </w:r>
      </w:fldSimple>
      <w:r>
        <w:t xml:space="preserve"> Conditional handover in LTE/NR Rel 16</w:t>
      </w:r>
    </w:p>
    <w:p w14:paraId="71376FF5" w14:textId="77777777" w:rsidR="0087054B" w:rsidRDefault="0087054B" w:rsidP="0087054B">
      <w:r w:rsidRPr="009A2DE0">
        <w:t>In CHO, data forwarding can be triggered either</w:t>
      </w:r>
      <w:r>
        <w:t>;</w:t>
      </w:r>
    </w:p>
    <w:p w14:paraId="76CEFF0A" w14:textId="77777777" w:rsidR="0087054B" w:rsidRDefault="0087054B" w:rsidP="0087054B">
      <w:pPr>
        <w:pStyle w:val="ListParagraph"/>
        <w:numPr>
          <w:ilvl w:val="0"/>
          <w:numId w:val="8"/>
        </w:numPr>
      </w:pPr>
      <w:r w:rsidRPr="009A2DE0">
        <w:t>early at the time when the cell is prepared</w:t>
      </w:r>
      <w:r>
        <w:t>; or</w:t>
      </w:r>
    </w:p>
    <w:p w14:paraId="7E1B1857" w14:textId="77777777" w:rsidR="0087054B" w:rsidRDefault="0087054B" w:rsidP="0087054B">
      <w:pPr>
        <w:pStyle w:val="ListParagraph"/>
        <w:numPr>
          <w:ilvl w:val="0"/>
          <w:numId w:val="8"/>
        </w:numPr>
      </w:pPr>
      <w:r w:rsidRPr="009A2DE0">
        <w:t xml:space="preserve">late when the serving gNB/source cell received “CHO Success”, step 15 in Fig. </w:t>
      </w:r>
      <w:r>
        <w:t>2</w:t>
      </w:r>
      <w:r w:rsidRPr="009A2DE0">
        <w:t>. On-time data forwarding (trigger the data forwarding at the time of CHO execution) is not possible since the UE does not indicate the execution to the serving gNB. An indication from the UE to the serving gNB at the time has been discussed in NR Rel. 16 but it was not agreed due to the fact that the radio communication between the UE and the serving gNB may not be reliable, i.e., the indication may get lost.</w:t>
      </w:r>
    </w:p>
    <w:p w14:paraId="7081CF98" w14:textId="04B120AD" w:rsidR="0087054B" w:rsidRDefault="0087054B" w:rsidP="0087054B">
      <w:r w:rsidRPr="009A2DE0">
        <w:t>A prepared target gNB/cell(s) in CHO has to reserve radio resources (e.g. for GBR radio bearers) and CFRA preambles. In Rel</w:t>
      </w:r>
      <w:r w:rsidR="00CA34DC">
        <w:t>-</w:t>
      </w:r>
      <w:r w:rsidRPr="009A2DE0">
        <w:t xml:space="preserve">16, the serving gNB/cell can release the prepared CHO cells (Step 19, Fig. </w:t>
      </w:r>
      <w:r w:rsidR="00E50F47">
        <w:t>2</w:t>
      </w:r>
      <w:r w:rsidRPr="009A2DE0">
        <w:t xml:space="preserve">) after it receives “HO Success” (Step 15, Fig. </w:t>
      </w:r>
      <w:r w:rsidR="00E50F47">
        <w:t>2</w:t>
      </w:r>
      <w:r w:rsidRPr="009A2DE0">
        <w:t xml:space="preserve">) from the target cell. In case of random access failure, the prepared other target cell(s) can be released </w:t>
      </w:r>
      <w:r w:rsidRPr="009A2DE0">
        <w:lastRenderedPageBreak/>
        <w:t xml:space="preserve">after the UE re-establishes to the target cell which may take hundreds of ms. As such, the source cell has no means to release the prepared CHO cells (except the one that is being accessed by the UE) at the time of CHO execution. Because, it is likely that the reserved CFRA resource(s) become(s) invalid until the UE re-establishes with the target cell, since the time between resource reservation (step 7&amp;8 in Fig. </w:t>
      </w:r>
      <w:r w:rsidR="00DA4D85">
        <w:t>2</w:t>
      </w:r>
      <w:r w:rsidRPr="009A2DE0">
        <w:t>) and successful RACH (step 14, Fig.</w:t>
      </w:r>
      <w:r w:rsidR="00DA4D85">
        <w:t>2</w:t>
      </w:r>
      <w:r w:rsidRPr="009A2DE0">
        <w:t>) can easily be some tens of milliseconds. For the CHO, this period can be much larger since the UE typically sends the measurement report very early, and does not access the target cell immediately, but only after a condition has expired. This can take much longer, multiple seconds in the worst case [</w:t>
      </w:r>
      <w:hyperlink r:id="rId18" w:history="1">
        <w:r w:rsidRPr="009A2DE0">
          <w:rPr>
            <w:rStyle w:val="Hyperlink"/>
          </w:rPr>
          <w:t>RP-181337</w:t>
        </w:r>
      </w:hyperlink>
      <w:r w:rsidRPr="009A2DE0">
        <w:t>].</w:t>
      </w:r>
      <w:r>
        <w:t xml:space="preserve"> </w:t>
      </w:r>
      <w:r w:rsidRPr="009A2DE0">
        <w:t>In addition to the risk of outdated CFRA beams, the dedicated preambles are reserved for a longer time than with the legacy handover. This increases the problem of shortage on CFRA preambles.</w:t>
      </w:r>
    </w:p>
    <w:p w14:paraId="3F05DC27" w14:textId="60640F1C" w:rsidR="0087054B" w:rsidRDefault="0087054B" w:rsidP="0087054B">
      <w:pPr>
        <w:rPr>
          <w:bCs/>
        </w:rPr>
      </w:pPr>
      <w:r w:rsidRPr="0074077C">
        <w:rPr>
          <w:b/>
        </w:rPr>
        <w:t xml:space="preserve">Observation </w:t>
      </w:r>
      <w:r>
        <w:rPr>
          <w:b/>
        </w:rPr>
        <w:t>2</w:t>
      </w:r>
      <w:r w:rsidRPr="0074077C">
        <w:rPr>
          <w:b/>
        </w:rPr>
        <w:t xml:space="preserve">: </w:t>
      </w:r>
      <w:r w:rsidRPr="00CB76EA">
        <w:rPr>
          <w:bCs/>
        </w:rPr>
        <w:t>The Uu interface between the remote UE and the serving gNB may not be reliable at the time of CHO execution which leads to; early or late data forwarding, the risk of outdated CFRA resources and thus the problem of shortage of CFRA preambles.</w:t>
      </w:r>
    </w:p>
    <w:p w14:paraId="5EDB873A" w14:textId="1A3F3B9B" w:rsidR="0087054B" w:rsidRDefault="0087054B" w:rsidP="0087054B">
      <w:pPr>
        <w:rPr>
          <w:bCs/>
        </w:rPr>
      </w:pPr>
      <w:r>
        <w:t>As UE-to-network relay can be used for the transmission of mobility related control signalling messages to e</w:t>
      </w:r>
      <w:r w:rsidRPr="007E55FA">
        <w:t>nable on-time data forwarding and release of CHO prepared cells at the time of CHO execution</w:t>
      </w:r>
      <w:r>
        <w:t xml:space="preserve">. Hence, the remote UE can inform the serving cell using the PC5 link that the CHO condition is met for a specific target cell, and include the PCI and/or cell-ID of the accessed target cell </w:t>
      </w:r>
      <w:r w:rsidRPr="005041C5">
        <w:rPr>
          <w:bCs/>
        </w:rPr>
        <w:t>(or ID of the conditional reconfiguration that is associated with the access target cell)</w:t>
      </w:r>
      <w:r>
        <w:rPr>
          <w:bCs/>
        </w:rPr>
        <w:t>.</w:t>
      </w:r>
      <w:r w:rsidRPr="0087054B">
        <w:rPr>
          <w:bCs/>
        </w:rPr>
        <w:t xml:space="preserve"> </w:t>
      </w:r>
      <w:r>
        <w:rPr>
          <w:bCs/>
        </w:rPr>
        <w:t>Th</w:t>
      </w:r>
      <w:r>
        <w:t xml:space="preserve">is </w:t>
      </w:r>
      <w:r w:rsidRPr="007E55FA">
        <w:rPr>
          <w:bCs/>
        </w:rPr>
        <w:t>enable</w:t>
      </w:r>
      <w:r>
        <w:rPr>
          <w:bCs/>
        </w:rPr>
        <w:t>s</w:t>
      </w:r>
      <w:r w:rsidRPr="007E55FA">
        <w:rPr>
          <w:bCs/>
        </w:rPr>
        <w:t xml:space="preserve"> the serving cell</w:t>
      </w:r>
      <w:r>
        <w:rPr>
          <w:bCs/>
        </w:rPr>
        <w:t xml:space="preserve"> of the remote-UE</w:t>
      </w:r>
      <w:r w:rsidR="00E279A1">
        <w:rPr>
          <w:bCs/>
        </w:rPr>
        <w:t>:</w:t>
      </w:r>
    </w:p>
    <w:p w14:paraId="26DFABB7" w14:textId="77777777" w:rsidR="0087054B" w:rsidRPr="0087054B" w:rsidRDefault="0087054B" w:rsidP="0087054B">
      <w:pPr>
        <w:pStyle w:val="ListParagraph"/>
        <w:numPr>
          <w:ilvl w:val="0"/>
          <w:numId w:val="10"/>
        </w:numPr>
        <w:rPr>
          <w:bCs/>
        </w:rPr>
      </w:pPr>
      <w:r>
        <w:rPr>
          <w:bCs/>
        </w:rPr>
        <w:t xml:space="preserve">To perform </w:t>
      </w:r>
      <w:r>
        <w:rPr>
          <w:szCs w:val="22"/>
        </w:rPr>
        <w:t>data forwarding on time.</w:t>
      </w:r>
    </w:p>
    <w:p w14:paraId="6DCB57AE" w14:textId="77777777" w:rsidR="0087054B" w:rsidRPr="0087054B" w:rsidRDefault="0087054B" w:rsidP="0087054B">
      <w:pPr>
        <w:pStyle w:val="ListParagraph"/>
        <w:numPr>
          <w:ilvl w:val="0"/>
          <w:numId w:val="10"/>
        </w:numPr>
        <w:rPr>
          <w:bCs/>
        </w:rPr>
      </w:pPr>
      <w:r w:rsidRPr="0087054B">
        <w:rPr>
          <w:bCs/>
        </w:rPr>
        <w:t>To release the preparation of the target cells that have not been accessed by the UE.</w:t>
      </w:r>
    </w:p>
    <w:p w14:paraId="2CEFA400" w14:textId="39E54284" w:rsidR="0087054B" w:rsidRDefault="0087054B" w:rsidP="0087054B">
      <w:pPr>
        <w:rPr>
          <w:bCs/>
        </w:rPr>
      </w:pPr>
      <w:r w:rsidRPr="000971DB">
        <w:rPr>
          <w:b/>
        </w:rPr>
        <w:t xml:space="preserve">Proposal </w:t>
      </w:r>
      <w:r>
        <w:rPr>
          <w:b/>
        </w:rPr>
        <w:t>2</w:t>
      </w:r>
      <w:r w:rsidRPr="000971DB">
        <w:rPr>
          <w:b/>
        </w:rPr>
        <w:t>:</w:t>
      </w:r>
      <w:r>
        <w:rPr>
          <w:bCs/>
        </w:rPr>
        <w:t xml:space="preserve"> T</w:t>
      </w:r>
      <w:r w:rsidRPr="005041C5">
        <w:rPr>
          <w:bCs/>
        </w:rPr>
        <w:t xml:space="preserve">he remote UE </w:t>
      </w:r>
      <w:r>
        <w:rPr>
          <w:bCs/>
        </w:rPr>
        <w:t>may</w:t>
      </w:r>
      <w:r w:rsidRPr="005041C5">
        <w:rPr>
          <w:bCs/>
        </w:rPr>
        <w:t xml:space="preserve"> inform the serving cell </w:t>
      </w:r>
      <w:r>
        <w:rPr>
          <w:bCs/>
        </w:rPr>
        <w:t>through the relay UE that</w:t>
      </w:r>
      <w:r w:rsidRPr="005041C5">
        <w:rPr>
          <w:bCs/>
        </w:rPr>
        <w:t xml:space="preserve"> the CHO</w:t>
      </w:r>
      <w:r>
        <w:rPr>
          <w:bCs/>
        </w:rPr>
        <w:t xml:space="preserve"> condition for the handover of a direct link is met for a specific target cell.</w:t>
      </w:r>
    </w:p>
    <w:p w14:paraId="00735C29" w14:textId="42F708CC" w:rsidR="0087054B" w:rsidRPr="0087054B" w:rsidRDefault="0087054B" w:rsidP="0087054B">
      <w:pPr>
        <w:rPr>
          <w:bCs/>
        </w:rPr>
      </w:pPr>
      <w:r w:rsidRPr="000971DB">
        <w:rPr>
          <w:b/>
        </w:rPr>
        <w:t xml:space="preserve">Proposal </w:t>
      </w:r>
      <w:r>
        <w:rPr>
          <w:b/>
        </w:rPr>
        <w:t>3</w:t>
      </w:r>
      <w:r w:rsidRPr="000971DB">
        <w:rPr>
          <w:b/>
        </w:rPr>
        <w:t>:</w:t>
      </w:r>
      <w:r>
        <w:rPr>
          <w:bCs/>
        </w:rPr>
        <w:t xml:space="preserve"> The message provided by the remote UE through the relay UE may </w:t>
      </w:r>
      <w:r w:rsidRPr="005041C5">
        <w:rPr>
          <w:bCs/>
        </w:rPr>
        <w:t>include the PCI and/or cell-ID of the accessed target cell (or ID of the conditional reconfiguration that is associated with the access target cell).</w:t>
      </w:r>
    </w:p>
    <w:p w14:paraId="5D24E1C5" w14:textId="77777777" w:rsidR="0087054B" w:rsidRPr="00912AF6" w:rsidRDefault="0087054B" w:rsidP="007E55FA">
      <w:pPr>
        <w:rPr>
          <w:bCs/>
        </w:rPr>
      </w:pPr>
    </w:p>
    <w:p w14:paraId="5FF2457F" w14:textId="06DE69FA" w:rsidR="00A209D6" w:rsidRPr="006E13D1" w:rsidRDefault="002A1271" w:rsidP="00A209D6">
      <w:pPr>
        <w:pStyle w:val="Heading1"/>
      </w:pPr>
      <w:r>
        <w:t>3</w:t>
      </w:r>
      <w:r w:rsidR="00A209D6" w:rsidRPr="006E13D1">
        <w:tab/>
      </w:r>
      <w:r w:rsidR="008C3057">
        <w:t>Conclusion</w:t>
      </w:r>
    </w:p>
    <w:p w14:paraId="6828D7FC" w14:textId="32E11778" w:rsidR="0037036D" w:rsidRDefault="0037036D" w:rsidP="00A209D6">
      <w:r>
        <w:t>This paper contains the following observations and proposals</w:t>
      </w:r>
      <w:r w:rsidR="0087054B">
        <w:t>:</w:t>
      </w:r>
      <w:r>
        <w:t xml:space="preserve"> </w:t>
      </w:r>
    </w:p>
    <w:p w14:paraId="4144ABB7" w14:textId="77777777" w:rsidR="00E35A72" w:rsidRDefault="00E35A72" w:rsidP="00E35A72">
      <w:pPr>
        <w:rPr>
          <w:b/>
        </w:rPr>
      </w:pPr>
      <w:r w:rsidRPr="0074077C">
        <w:rPr>
          <w:b/>
        </w:rPr>
        <w:t xml:space="preserve">Observation </w:t>
      </w:r>
      <w:r>
        <w:rPr>
          <w:b/>
        </w:rPr>
        <w:t xml:space="preserve">1: </w:t>
      </w:r>
      <w:r w:rsidRPr="00CB76EA">
        <w:rPr>
          <w:bCs/>
        </w:rPr>
        <w:t>Beam failures might result in loss of DL packets and inefficient use of DL resources since the serving cell will continue to serve the UE while the UE is performing BFR.</w:t>
      </w:r>
    </w:p>
    <w:p w14:paraId="1E4E3694" w14:textId="7790003F" w:rsidR="0087054B" w:rsidRDefault="00E35A72" w:rsidP="00E35A72">
      <w:pPr>
        <w:rPr>
          <w:b/>
        </w:rPr>
      </w:pPr>
      <w:r>
        <w:rPr>
          <w:b/>
        </w:rPr>
        <w:t>Proposal</w:t>
      </w:r>
      <w:r w:rsidRPr="00B84DB2">
        <w:rPr>
          <w:b/>
        </w:rPr>
        <w:t xml:space="preserve"> </w:t>
      </w:r>
      <w:r>
        <w:rPr>
          <w:b/>
        </w:rPr>
        <w:t xml:space="preserve">1: </w:t>
      </w:r>
      <w:r w:rsidRPr="00912AF6">
        <w:rPr>
          <w:bCs/>
        </w:rPr>
        <w:t>When the UE detects beam failure on the direct link, the remote-UE can inform the serving cell via PC5 link about the BFR event such that it can stop scheduling data and wait for the BFR from the UE.</w:t>
      </w:r>
    </w:p>
    <w:p w14:paraId="00D67685" w14:textId="7B0E6834" w:rsidR="0037036D" w:rsidRPr="0004640F" w:rsidRDefault="0087054B" w:rsidP="0037036D">
      <w:pPr>
        <w:rPr>
          <w:bCs/>
        </w:rPr>
      </w:pPr>
      <w:r w:rsidRPr="0074077C">
        <w:rPr>
          <w:b/>
        </w:rPr>
        <w:t xml:space="preserve">Observation </w:t>
      </w:r>
      <w:r>
        <w:rPr>
          <w:b/>
        </w:rPr>
        <w:t>2</w:t>
      </w:r>
      <w:r w:rsidRPr="0074077C">
        <w:rPr>
          <w:b/>
        </w:rPr>
        <w:t xml:space="preserve">: </w:t>
      </w:r>
      <w:r w:rsidRPr="00CB76EA">
        <w:rPr>
          <w:bCs/>
        </w:rPr>
        <w:t>The Uu interface between the remote UE and the serving gNB may not be reliable at the time of CHO execution which leads to; early or late data forwarding, the risk of outdated CFRA resources and thus the problem of shortage of CFRA preambles.</w:t>
      </w:r>
    </w:p>
    <w:p w14:paraId="5003F984" w14:textId="73BD6E41" w:rsidR="0087054B" w:rsidRDefault="0087054B" w:rsidP="0087054B">
      <w:pPr>
        <w:rPr>
          <w:bCs/>
        </w:rPr>
      </w:pPr>
      <w:r w:rsidRPr="000971DB">
        <w:rPr>
          <w:b/>
        </w:rPr>
        <w:t xml:space="preserve">Proposal </w:t>
      </w:r>
      <w:r w:rsidR="00E35A72">
        <w:rPr>
          <w:b/>
        </w:rPr>
        <w:t>2</w:t>
      </w:r>
      <w:r w:rsidRPr="000971DB">
        <w:rPr>
          <w:b/>
        </w:rPr>
        <w:t>:</w:t>
      </w:r>
      <w:r>
        <w:rPr>
          <w:bCs/>
        </w:rPr>
        <w:t xml:space="preserve"> T</w:t>
      </w:r>
      <w:r w:rsidRPr="005041C5">
        <w:rPr>
          <w:bCs/>
        </w:rPr>
        <w:t xml:space="preserve">he remote UE </w:t>
      </w:r>
      <w:r>
        <w:rPr>
          <w:bCs/>
        </w:rPr>
        <w:t>may</w:t>
      </w:r>
      <w:r w:rsidRPr="005041C5">
        <w:rPr>
          <w:bCs/>
        </w:rPr>
        <w:t xml:space="preserve"> inform the serving cell </w:t>
      </w:r>
      <w:r>
        <w:rPr>
          <w:bCs/>
        </w:rPr>
        <w:t>through the relay UE that</w:t>
      </w:r>
      <w:r w:rsidRPr="005041C5">
        <w:rPr>
          <w:bCs/>
        </w:rPr>
        <w:t xml:space="preserve"> the CHO</w:t>
      </w:r>
      <w:r>
        <w:rPr>
          <w:bCs/>
        </w:rPr>
        <w:t xml:space="preserve"> condition for the handover of a direct link is met for a specific target cell.</w:t>
      </w:r>
    </w:p>
    <w:p w14:paraId="653EED19" w14:textId="1C4363B6" w:rsidR="00A209D6" w:rsidRPr="00CD4C7B" w:rsidRDefault="0087054B" w:rsidP="00A209D6">
      <w:r w:rsidRPr="000971DB">
        <w:rPr>
          <w:b/>
        </w:rPr>
        <w:t xml:space="preserve">Proposal </w:t>
      </w:r>
      <w:r w:rsidR="00E35A72">
        <w:rPr>
          <w:b/>
        </w:rPr>
        <w:t>3</w:t>
      </w:r>
      <w:r w:rsidRPr="000971DB">
        <w:rPr>
          <w:b/>
        </w:rPr>
        <w:t>:</w:t>
      </w:r>
      <w:r>
        <w:rPr>
          <w:bCs/>
        </w:rPr>
        <w:t xml:space="preserve"> The message provided by the remote UE through the relay UE may </w:t>
      </w:r>
      <w:r w:rsidRPr="005041C5">
        <w:rPr>
          <w:bCs/>
        </w:rPr>
        <w:t>include the PCI and/or cell-ID of the accessed target cell (or ID of the conditional reconfiguration that is associated with the access target cell).</w:t>
      </w:r>
    </w:p>
    <w:p w14:paraId="35F222F4" w14:textId="77777777" w:rsidR="00080512" w:rsidRPr="00A209D6" w:rsidRDefault="00080512" w:rsidP="00A209D6"/>
    <w:sectPr w:rsidR="00080512" w:rsidRPr="00A209D6">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C6421" w14:textId="77777777" w:rsidR="006B0027" w:rsidRDefault="006B0027">
      <w:r>
        <w:separator/>
      </w:r>
    </w:p>
  </w:endnote>
  <w:endnote w:type="continuationSeparator" w:id="0">
    <w:p w14:paraId="41A63D2E" w14:textId="77777777" w:rsidR="006B0027" w:rsidRDefault="006B0027">
      <w:r>
        <w:continuationSeparator/>
      </w:r>
    </w:p>
  </w:endnote>
  <w:endnote w:type="continuationNotice" w:id="1">
    <w:p w14:paraId="286D0545" w14:textId="77777777" w:rsidR="006B0027" w:rsidRDefault="006B00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B8EB4" w14:textId="77777777" w:rsidR="00E35A72" w:rsidRDefault="00E35A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0B3B4D19" w:rsidR="0072073A" w:rsidRDefault="00834298">
    <w:pPr>
      <w:pStyle w:val="Footer"/>
    </w:pPr>
    <w:bookmarkStart w:id="0" w:name="_GoBack"/>
    <w:bookmarkEnd w:id="0"/>
    <w:r>
      <mc:AlternateContent>
        <mc:Choice Requires="wps">
          <w:drawing>
            <wp:anchor distT="0" distB="0" distL="114300" distR="114300" simplePos="0" relativeHeight="251659264" behindDoc="0" locked="0" layoutInCell="0" allowOverlap="1" wp14:anchorId="7D096735" wp14:editId="09738260">
              <wp:simplePos x="0" y="0"/>
              <wp:positionH relativeFrom="page">
                <wp:posOffset>0</wp:posOffset>
              </wp:positionH>
              <wp:positionV relativeFrom="page">
                <wp:posOffset>10250170</wp:posOffset>
              </wp:positionV>
              <wp:extent cx="7560945" cy="252095"/>
              <wp:effectExtent l="0" t="0" r="0" b="14605"/>
              <wp:wrapNone/>
              <wp:docPr id="4" name="MSIPCM612e48659fc9674714e27aac" descr="{&quot;HashCode&quot;:-138697120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55F957F" w14:textId="50450DF3" w:rsidR="00834298" w:rsidRPr="00834298" w:rsidRDefault="00834298" w:rsidP="00834298">
                          <w:pPr>
                            <w:spacing w:after="0"/>
                            <w:jc w:val="center"/>
                            <w:rPr>
                              <w:rFonts w:ascii="Arial" w:hAnsi="Arial" w:cs="Arial"/>
                              <w:color w:val="001753"/>
                              <w:sz w:val="16"/>
                            </w:rPr>
                          </w:pPr>
                          <w:r w:rsidRPr="00834298">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D096735" id="_x0000_t202" coordsize="21600,21600" o:spt="202" path="m,l,21600r21600,l21600,xe">
              <v:stroke joinstyle="miter"/>
              <v:path gradientshapeok="t" o:connecttype="rect"/>
            </v:shapetype>
            <v:shape id="MSIPCM612e48659fc9674714e27aac" o:spid="_x0000_s1026" type="#_x0000_t202" alt="{&quot;HashCode&quot;:-1386971202,&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sknsAIAAEcFAAAOAAAAZHJzL2Uyb0RvYy54bWysVEtv2zAMvg/YfxB02GmNH7XzWp0iS5Et&#10;QNoGSIeeFVmODdiiKimNs2H/fZQfadftNOwiUST1UfxI6uq6rkryLLQpQCY0GPiUCMkhLeQ+od8e&#10;lhdjSoxlMmUlSJHQkzD0evb+3dVRTUUIOZSp0ARBpJkeVUJza9XU8wzPRcXMAJSQaMxAV8ziUe+9&#10;VLMjolelF/r+0DuCTpUGLoxB7U1rpLMGP8sEt/dZZoQlZULxbbZZdbPu3OrNrth0r5nKC949g/3D&#10;KypWSAx6hrphlpGDLv6AqgquwUBmBxwqD7Ks4KLJAbMJ/DfZbHOmRJMLkmPUmSbz/2D53fNGkyJN&#10;aESJZBWW6Ha72ixuh0EoovEwnmR8MhxFoyAS4YgxTkkqDEcGf3x4OoD99JWZfAGpaE/Ti+ByPJyM&#10;gtAPP3YOotjntjOPo3Dgd4bHIrV5p48n8Vm/KRkXlZD9ndZlCWCFbuUOYCVTUXcA7bbRRcX06Tev&#10;LfYANmfnF3R3H0B1Gv8ceC2yPiYqf7reOCozRYq2Ckmy9Weoscd7vUGlK3md6crtWEyCduyy07mz&#10;RG0JR+UoHvqTKKaEoy2MQ38SOxjv5bbSxn4RUBEnJFTjq5uGYs9rY1vX3sUFk7AsyrLp3lKSY0KH&#10;l7HfXDhbELyUGMPl0L7VSbbe1V1iO0hPmJeGdiqM4ssCg6+ZsRumcQwwFRxte49LVgIGgU6iJAf9&#10;/W9654/diVZKjjhWCTVPB6YFJeVKYt9Ogihyc9gcUNCvtbteKw/VAnBiA/w8FG9E52vLXsw0VI84&#10;+XMXDU1McoyZ0F0vLiye0IA/BxfzeSPjxClm13KruIN2NDpKH+pHplXHu8WK3UE/eGz6hv7Wty3A&#10;/GAhK5raOGJbNju+cVqb6nY/i/sOXp8br5f/b/YLAAD//wMAUEsDBBQABgAIAAAAIQC+emZk3wAA&#10;AAsBAAAPAAAAZHJzL2Rvd25yZXYueG1sTI/NTsMwEITvSLyDtUjcqJNSCglxKgTigoQQBXF24s1P&#10;E6+j2G2Tt2dzguPOjGa/yXaT7cUJR986UhCvIhBIpTMt1Qq+v15vHkD4oMno3hEqmNHDLr+8yHRq&#10;3Jk+8bQPteAS8qlW0IQwpFL6skGr/coNSOxVbrQ68DnW0oz6zOW2l+so2kqrW+IPjR7wucGy2x+t&#10;gs1HUlTy0NnD+/w2z21X/bwUlVLXV9PTI4iAU/gLw4LP6JAzU+GOZLzoFfCQwOo23qxBLH6cRPcg&#10;ikW7u01A5pn8vyH/BQAA//8DAFBLAQItABQABgAIAAAAIQC2gziS/gAAAOEBAAATAAAAAAAAAAAA&#10;AAAAAAAAAABbQ29udGVudF9UeXBlc10ueG1sUEsBAi0AFAAGAAgAAAAhADj9If/WAAAAlAEAAAsA&#10;AAAAAAAAAAAAAAAALwEAAF9yZWxzLy5yZWxzUEsBAi0AFAAGAAgAAAAhAF32ySewAgAARwUAAA4A&#10;AAAAAAAAAAAAAAAALgIAAGRycy9lMm9Eb2MueG1sUEsBAi0AFAAGAAgAAAAhAL56ZmTfAAAACwEA&#10;AA8AAAAAAAAAAAAAAAAACgUAAGRycy9kb3ducmV2LnhtbFBLBQYAAAAABAAEAPMAAAAWBgAAAAA=&#10;" o:allowincell="f" filled="f" stroked="f" strokeweight=".5pt">
              <v:fill o:detectmouseclick="t"/>
              <v:textbox inset=",0,,0">
                <w:txbxContent>
                  <w:p w14:paraId="055F957F" w14:textId="50450DF3" w:rsidR="00834298" w:rsidRPr="00834298" w:rsidRDefault="00834298" w:rsidP="00834298">
                    <w:pPr>
                      <w:spacing w:after="0"/>
                      <w:jc w:val="center"/>
                      <w:rPr>
                        <w:rFonts w:ascii="Arial" w:hAnsi="Arial" w:cs="Arial"/>
                        <w:color w:val="001753"/>
                        <w:sz w:val="16"/>
                      </w:rPr>
                    </w:pPr>
                    <w:r w:rsidRPr="00834298">
                      <w:rPr>
                        <w:rFonts w:ascii="Arial" w:hAnsi="Arial" w:cs="Arial"/>
                        <w:color w:val="001753"/>
                        <w:sz w:val="16"/>
                      </w:rPr>
                      <w:t>Nokia 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56756" w14:textId="77777777" w:rsidR="00E35A72" w:rsidRDefault="00E35A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6D8E0" w14:textId="77777777" w:rsidR="006B0027" w:rsidRDefault="006B0027">
      <w:r>
        <w:separator/>
      </w:r>
    </w:p>
  </w:footnote>
  <w:footnote w:type="continuationSeparator" w:id="0">
    <w:p w14:paraId="593DEE1C" w14:textId="77777777" w:rsidR="006B0027" w:rsidRDefault="006B0027">
      <w:r>
        <w:continuationSeparator/>
      </w:r>
    </w:p>
  </w:footnote>
  <w:footnote w:type="continuationNotice" w:id="1">
    <w:p w14:paraId="53D564D7" w14:textId="77777777" w:rsidR="006B0027" w:rsidRDefault="006B00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A6355" w14:textId="77777777" w:rsidR="00E35A72" w:rsidRDefault="00E35A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6274B" w14:textId="77777777" w:rsidR="00E35A72" w:rsidRDefault="00E35A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8DD92" w14:textId="77777777" w:rsidR="00E35A72" w:rsidRDefault="00E35A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E46A61"/>
    <w:multiLevelType w:val="hybridMultilevel"/>
    <w:tmpl w:val="8D3E0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8ED1CD0"/>
    <w:multiLevelType w:val="hybridMultilevel"/>
    <w:tmpl w:val="03A2B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7FBD5AC0"/>
    <w:multiLevelType w:val="hybridMultilevel"/>
    <w:tmpl w:val="8D28C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5"/>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FCD"/>
    <w:rsid w:val="000117EB"/>
    <w:rsid w:val="00016557"/>
    <w:rsid w:val="00023C40"/>
    <w:rsid w:val="00033397"/>
    <w:rsid w:val="00040095"/>
    <w:rsid w:val="0004640F"/>
    <w:rsid w:val="00062013"/>
    <w:rsid w:val="00065268"/>
    <w:rsid w:val="000667C7"/>
    <w:rsid w:val="00073C9C"/>
    <w:rsid w:val="00080512"/>
    <w:rsid w:val="00090468"/>
    <w:rsid w:val="00094568"/>
    <w:rsid w:val="000971DB"/>
    <w:rsid w:val="000B7BCF"/>
    <w:rsid w:val="000C522B"/>
    <w:rsid w:val="000D58AB"/>
    <w:rsid w:val="000F545C"/>
    <w:rsid w:val="00112F1A"/>
    <w:rsid w:val="001133E3"/>
    <w:rsid w:val="001350CD"/>
    <w:rsid w:val="00145075"/>
    <w:rsid w:val="001741A0"/>
    <w:rsid w:val="00175A2F"/>
    <w:rsid w:val="00175FA0"/>
    <w:rsid w:val="00186191"/>
    <w:rsid w:val="00194CD0"/>
    <w:rsid w:val="001B49C9"/>
    <w:rsid w:val="001C23F4"/>
    <w:rsid w:val="001C4F79"/>
    <w:rsid w:val="001F168B"/>
    <w:rsid w:val="001F7831"/>
    <w:rsid w:val="00204045"/>
    <w:rsid w:val="0020712B"/>
    <w:rsid w:val="0021159C"/>
    <w:rsid w:val="0022606D"/>
    <w:rsid w:val="00231728"/>
    <w:rsid w:val="00244A05"/>
    <w:rsid w:val="00250404"/>
    <w:rsid w:val="002610D8"/>
    <w:rsid w:val="002615B6"/>
    <w:rsid w:val="002747EC"/>
    <w:rsid w:val="002855BF"/>
    <w:rsid w:val="002A1271"/>
    <w:rsid w:val="002A43D5"/>
    <w:rsid w:val="002F0D22"/>
    <w:rsid w:val="00311B17"/>
    <w:rsid w:val="003123E4"/>
    <w:rsid w:val="003172DC"/>
    <w:rsid w:val="00325AE3"/>
    <w:rsid w:val="00326069"/>
    <w:rsid w:val="0035462D"/>
    <w:rsid w:val="0036459E"/>
    <w:rsid w:val="00364B41"/>
    <w:rsid w:val="0037036D"/>
    <w:rsid w:val="00380A8A"/>
    <w:rsid w:val="00383096"/>
    <w:rsid w:val="00390233"/>
    <w:rsid w:val="0039346C"/>
    <w:rsid w:val="00394751"/>
    <w:rsid w:val="003A41EF"/>
    <w:rsid w:val="003B40AD"/>
    <w:rsid w:val="003C35D0"/>
    <w:rsid w:val="003C4E37"/>
    <w:rsid w:val="003D51B3"/>
    <w:rsid w:val="003E16BE"/>
    <w:rsid w:val="003F4E28"/>
    <w:rsid w:val="004006E8"/>
    <w:rsid w:val="00401855"/>
    <w:rsid w:val="00465587"/>
    <w:rsid w:val="00477455"/>
    <w:rsid w:val="00491D10"/>
    <w:rsid w:val="004A1F7B"/>
    <w:rsid w:val="004C44D2"/>
    <w:rsid w:val="004D3578"/>
    <w:rsid w:val="004D380D"/>
    <w:rsid w:val="004E213A"/>
    <w:rsid w:val="004F30AA"/>
    <w:rsid w:val="004F4540"/>
    <w:rsid w:val="004F73A7"/>
    <w:rsid w:val="00503171"/>
    <w:rsid w:val="005041C5"/>
    <w:rsid w:val="00506C28"/>
    <w:rsid w:val="00534DA0"/>
    <w:rsid w:val="00543E6C"/>
    <w:rsid w:val="00565087"/>
    <w:rsid w:val="0056573F"/>
    <w:rsid w:val="00571279"/>
    <w:rsid w:val="00577BE4"/>
    <w:rsid w:val="00580E97"/>
    <w:rsid w:val="005A49C6"/>
    <w:rsid w:val="005F0C81"/>
    <w:rsid w:val="00604B49"/>
    <w:rsid w:val="00611566"/>
    <w:rsid w:val="00646D99"/>
    <w:rsid w:val="00656910"/>
    <w:rsid w:val="006574C0"/>
    <w:rsid w:val="00696821"/>
    <w:rsid w:val="006B0027"/>
    <w:rsid w:val="006B5AFC"/>
    <w:rsid w:val="006C66D8"/>
    <w:rsid w:val="006D1E24"/>
    <w:rsid w:val="006D35DE"/>
    <w:rsid w:val="006E1057"/>
    <w:rsid w:val="006E1417"/>
    <w:rsid w:val="006F6A2C"/>
    <w:rsid w:val="007069DC"/>
    <w:rsid w:val="00710201"/>
    <w:rsid w:val="0072073A"/>
    <w:rsid w:val="00727AFD"/>
    <w:rsid w:val="007342B5"/>
    <w:rsid w:val="00734A5B"/>
    <w:rsid w:val="0074077C"/>
    <w:rsid w:val="00744E76"/>
    <w:rsid w:val="00754131"/>
    <w:rsid w:val="00757D40"/>
    <w:rsid w:val="007662B5"/>
    <w:rsid w:val="00781F0F"/>
    <w:rsid w:val="0078727C"/>
    <w:rsid w:val="0079049D"/>
    <w:rsid w:val="00793DC5"/>
    <w:rsid w:val="00796823"/>
    <w:rsid w:val="007A2E55"/>
    <w:rsid w:val="007B18D8"/>
    <w:rsid w:val="007C095F"/>
    <w:rsid w:val="007C2DD0"/>
    <w:rsid w:val="007E55FA"/>
    <w:rsid w:val="007F2E08"/>
    <w:rsid w:val="008028A4"/>
    <w:rsid w:val="00807080"/>
    <w:rsid w:val="00813245"/>
    <w:rsid w:val="00834298"/>
    <w:rsid w:val="00840DE0"/>
    <w:rsid w:val="00852A49"/>
    <w:rsid w:val="008607A8"/>
    <w:rsid w:val="0086354A"/>
    <w:rsid w:val="0087054B"/>
    <w:rsid w:val="008768CA"/>
    <w:rsid w:val="00877EF9"/>
    <w:rsid w:val="00880559"/>
    <w:rsid w:val="008B5306"/>
    <w:rsid w:val="008C2E2A"/>
    <w:rsid w:val="008C3057"/>
    <w:rsid w:val="008D2E4D"/>
    <w:rsid w:val="008F396F"/>
    <w:rsid w:val="008F3DCD"/>
    <w:rsid w:val="0090271F"/>
    <w:rsid w:val="00902DB9"/>
    <w:rsid w:val="0090466A"/>
    <w:rsid w:val="00912AF6"/>
    <w:rsid w:val="00923655"/>
    <w:rsid w:val="00936071"/>
    <w:rsid w:val="009376CD"/>
    <w:rsid w:val="00940212"/>
    <w:rsid w:val="00942EC2"/>
    <w:rsid w:val="009432D6"/>
    <w:rsid w:val="00961B32"/>
    <w:rsid w:val="00962509"/>
    <w:rsid w:val="00970DB3"/>
    <w:rsid w:val="00974BB0"/>
    <w:rsid w:val="00975BCD"/>
    <w:rsid w:val="00982EFC"/>
    <w:rsid w:val="009928A9"/>
    <w:rsid w:val="009A0AF3"/>
    <w:rsid w:val="009A2DE0"/>
    <w:rsid w:val="009B07CD"/>
    <w:rsid w:val="009C19E9"/>
    <w:rsid w:val="009D74A6"/>
    <w:rsid w:val="009E0E87"/>
    <w:rsid w:val="00A10807"/>
    <w:rsid w:val="00A10F02"/>
    <w:rsid w:val="00A204CA"/>
    <w:rsid w:val="00A209D6"/>
    <w:rsid w:val="00A22738"/>
    <w:rsid w:val="00A430EC"/>
    <w:rsid w:val="00A53724"/>
    <w:rsid w:val="00A54B2B"/>
    <w:rsid w:val="00A82346"/>
    <w:rsid w:val="00A83326"/>
    <w:rsid w:val="00A9671C"/>
    <w:rsid w:val="00AA1553"/>
    <w:rsid w:val="00B05380"/>
    <w:rsid w:val="00B05962"/>
    <w:rsid w:val="00B15449"/>
    <w:rsid w:val="00B16C2F"/>
    <w:rsid w:val="00B173A0"/>
    <w:rsid w:val="00B27303"/>
    <w:rsid w:val="00B45CB5"/>
    <w:rsid w:val="00B47FD1"/>
    <w:rsid w:val="00B516BB"/>
    <w:rsid w:val="00B606E6"/>
    <w:rsid w:val="00B71BD1"/>
    <w:rsid w:val="00B7538C"/>
    <w:rsid w:val="00B84DB2"/>
    <w:rsid w:val="00BC3555"/>
    <w:rsid w:val="00BD6658"/>
    <w:rsid w:val="00BF0E10"/>
    <w:rsid w:val="00C12B51"/>
    <w:rsid w:val="00C24650"/>
    <w:rsid w:val="00C25465"/>
    <w:rsid w:val="00C33079"/>
    <w:rsid w:val="00C509A7"/>
    <w:rsid w:val="00C55A12"/>
    <w:rsid w:val="00C64226"/>
    <w:rsid w:val="00C6553E"/>
    <w:rsid w:val="00C83A13"/>
    <w:rsid w:val="00C85411"/>
    <w:rsid w:val="00C86F10"/>
    <w:rsid w:val="00C9068C"/>
    <w:rsid w:val="00C92967"/>
    <w:rsid w:val="00CA24CF"/>
    <w:rsid w:val="00CA34DC"/>
    <w:rsid w:val="00CA3D0C"/>
    <w:rsid w:val="00CA654B"/>
    <w:rsid w:val="00CB72B8"/>
    <w:rsid w:val="00CB76EA"/>
    <w:rsid w:val="00CD0BA8"/>
    <w:rsid w:val="00CD4C7B"/>
    <w:rsid w:val="00CD58FE"/>
    <w:rsid w:val="00D170A8"/>
    <w:rsid w:val="00D33BE3"/>
    <w:rsid w:val="00D365AF"/>
    <w:rsid w:val="00D3792D"/>
    <w:rsid w:val="00D46440"/>
    <w:rsid w:val="00D55E47"/>
    <w:rsid w:val="00D61E49"/>
    <w:rsid w:val="00D62E19"/>
    <w:rsid w:val="00D67CD1"/>
    <w:rsid w:val="00D738D6"/>
    <w:rsid w:val="00D80795"/>
    <w:rsid w:val="00D854BE"/>
    <w:rsid w:val="00D87E00"/>
    <w:rsid w:val="00D9134D"/>
    <w:rsid w:val="00D96D11"/>
    <w:rsid w:val="00DA4D85"/>
    <w:rsid w:val="00DA6423"/>
    <w:rsid w:val="00DA7A03"/>
    <w:rsid w:val="00DB0DB8"/>
    <w:rsid w:val="00DB1818"/>
    <w:rsid w:val="00DC309B"/>
    <w:rsid w:val="00DC4DA2"/>
    <w:rsid w:val="00DC5261"/>
    <w:rsid w:val="00DE25D2"/>
    <w:rsid w:val="00DE4D34"/>
    <w:rsid w:val="00E13DD5"/>
    <w:rsid w:val="00E17CEA"/>
    <w:rsid w:val="00E279A1"/>
    <w:rsid w:val="00E35A72"/>
    <w:rsid w:val="00E46C08"/>
    <w:rsid w:val="00E471CF"/>
    <w:rsid w:val="00E50F47"/>
    <w:rsid w:val="00E5442A"/>
    <w:rsid w:val="00E61BA3"/>
    <w:rsid w:val="00E62835"/>
    <w:rsid w:val="00E66B47"/>
    <w:rsid w:val="00E76267"/>
    <w:rsid w:val="00E77645"/>
    <w:rsid w:val="00E83697"/>
    <w:rsid w:val="00E859B6"/>
    <w:rsid w:val="00EA66C9"/>
    <w:rsid w:val="00EB0708"/>
    <w:rsid w:val="00EC4A25"/>
    <w:rsid w:val="00EF612C"/>
    <w:rsid w:val="00F025A2"/>
    <w:rsid w:val="00F036E9"/>
    <w:rsid w:val="00F07388"/>
    <w:rsid w:val="00F2026E"/>
    <w:rsid w:val="00F2210A"/>
    <w:rsid w:val="00F23E2E"/>
    <w:rsid w:val="00F31372"/>
    <w:rsid w:val="00F37743"/>
    <w:rsid w:val="00F54A3D"/>
    <w:rsid w:val="00F54CB0"/>
    <w:rsid w:val="00F579CD"/>
    <w:rsid w:val="00F653B8"/>
    <w:rsid w:val="00F71B89"/>
    <w:rsid w:val="00F7353C"/>
    <w:rsid w:val="00F76F8F"/>
    <w:rsid w:val="00F941DF"/>
    <w:rsid w:val="00FA0F51"/>
    <w:rsid w:val="00FA1266"/>
    <w:rsid w:val="00FB36FA"/>
    <w:rsid w:val="00FC00AB"/>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FEAD8DE-1992-452A-8A28-4C33C167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aption">
    <w:name w:val="caption"/>
    <w:basedOn w:val="Normal"/>
    <w:next w:val="Normal"/>
    <w:unhideWhenUsed/>
    <w:qFormat/>
    <w:rsid w:val="00D170A8"/>
    <w:pPr>
      <w:spacing w:after="200"/>
    </w:pPr>
    <w:rPr>
      <w:i/>
      <w:iCs/>
      <w:color w:val="44546A" w:themeColor="text2"/>
      <w:sz w:val="18"/>
      <w:szCs w:val="18"/>
    </w:rPr>
  </w:style>
  <w:style w:type="paragraph" w:styleId="ListParagraph">
    <w:name w:val="List Paragraph"/>
    <w:basedOn w:val="Normal"/>
    <w:uiPriority w:val="34"/>
    <w:qFormat/>
    <w:rsid w:val="009A2DE0"/>
    <w:pPr>
      <w:ind w:left="720"/>
      <w:contextualSpacing/>
    </w:pPr>
  </w:style>
  <w:style w:type="character" w:styleId="CommentReference">
    <w:name w:val="annotation reference"/>
    <w:basedOn w:val="DefaultParagraphFont"/>
    <w:rsid w:val="007E55FA"/>
    <w:rPr>
      <w:sz w:val="16"/>
      <w:szCs w:val="16"/>
    </w:rPr>
  </w:style>
  <w:style w:type="paragraph" w:styleId="CommentText">
    <w:name w:val="annotation text"/>
    <w:basedOn w:val="Normal"/>
    <w:link w:val="CommentTextChar"/>
    <w:rsid w:val="007E55FA"/>
  </w:style>
  <w:style w:type="character" w:customStyle="1" w:styleId="CommentTextChar">
    <w:name w:val="Comment Text Char"/>
    <w:basedOn w:val="DefaultParagraphFont"/>
    <w:link w:val="CommentText"/>
    <w:rsid w:val="007E55FA"/>
    <w:rPr>
      <w:lang w:eastAsia="en-US"/>
    </w:rPr>
  </w:style>
  <w:style w:type="paragraph" w:styleId="CommentSubject">
    <w:name w:val="annotation subject"/>
    <w:basedOn w:val="CommentText"/>
    <w:next w:val="CommentText"/>
    <w:link w:val="CommentSubjectChar"/>
    <w:rsid w:val="007E55FA"/>
    <w:rPr>
      <w:b/>
      <w:bCs/>
    </w:rPr>
  </w:style>
  <w:style w:type="character" w:customStyle="1" w:styleId="CommentSubjectChar">
    <w:name w:val="Comment Subject Char"/>
    <w:basedOn w:val="CommentTextChar"/>
    <w:link w:val="CommentSubject"/>
    <w:rsid w:val="007E55F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3998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6265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Specs/archive/38_series/38.836/38836-200.zip" TargetMode="External"/><Relationship Id="rId18" Type="http://schemas.openxmlformats.org/officeDocument/2006/relationships/hyperlink" Target="https://www.3gpp.org/ftp/TSG_RAN/TSG_RAN/TSGR_80/Docs/RP-181337.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5AIRPNAIUNRU-859666464-9274</_dlc_DocId>
    <_dlc_DocIdUrl xmlns="71c5aaf6-e6ce-465b-b873-5148d2a4c105">
      <Url>https://nokia.sharepoint.com/sites/c5g/e2earch/_layouts/15/DocIdRedir.aspx?ID=5AIRPNAIUNRU-859666464-9274</Url>
      <Description>5AIRPNAIUNRU-859666464-9274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48686075-1363-4323-B64D-C8CF7B4AF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1487</Words>
  <Characters>9074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jakob.buthler</cp:lastModifiedBy>
  <cp:revision>24</cp:revision>
  <dcterms:created xsi:type="dcterms:W3CDTF">2021-07-23T10:38:00Z</dcterms:created>
  <dcterms:modified xsi:type="dcterms:W3CDTF">2021-08-05T22:16:00Z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0cecaac8-ee03-4a07-aac5-f3c3cd43f327</vt:lpwstr>
  </property>
  <property fmtid="{D5CDD505-2E9C-101B-9397-08002B2CF9AE}" pid="4" name="MSIP_Label_46cc7c65-2b09-40ab-abef-d10548338a3b_Enabled">
    <vt:lpwstr>true</vt:lpwstr>
  </property>
  <property fmtid="{D5CDD505-2E9C-101B-9397-08002B2CF9AE}" pid="5" name="MSIP_Label_46cc7c65-2b09-40ab-abef-d10548338a3b_SetDate">
    <vt:lpwstr>2021-08-05T22:16:58Z</vt:lpwstr>
  </property>
  <property fmtid="{D5CDD505-2E9C-101B-9397-08002B2CF9AE}" pid="6" name="MSIP_Label_46cc7c65-2b09-40ab-abef-d10548338a3b_Method">
    <vt:lpwstr>Privileged</vt:lpwstr>
  </property>
  <property fmtid="{D5CDD505-2E9C-101B-9397-08002B2CF9AE}" pid="7" name="MSIP_Label_46cc7c65-2b09-40ab-abef-d10548338a3b_Name">
    <vt:lpwstr>46cc7c65-2b09-40ab-abef-d10548338a3b</vt:lpwstr>
  </property>
  <property fmtid="{D5CDD505-2E9C-101B-9397-08002B2CF9AE}" pid="8" name="MSIP_Label_46cc7c65-2b09-40ab-abef-d10548338a3b_SiteId">
    <vt:lpwstr>5d471751-9675-428d-917b-70f44f9630b0</vt:lpwstr>
  </property>
  <property fmtid="{D5CDD505-2E9C-101B-9397-08002B2CF9AE}" pid="9" name="MSIP_Label_46cc7c65-2b09-40ab-abef-d10548338a3b_ActionId">
    <vt:lpwstr>e2a98566-f44f-4495-9491-aee04f685460</vt:lpwstr>
  </property>
  <property fmtid="{D5CDD505-2E9C-101B-9397-08002B2CF9AE}" pid="10" name="MSIP_Label_46cc7c65-2b09-40ab-abef-d10548338a3b_ContentBits">
    <vt:lpwstr>2</vt:lpwstr>
  </property>
</Properties>
</file>